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AFA11" w14:textId="204FE959" w:rsidR="00F8486A" w:rsidRDefault="00B64799" w:rsidP="00CE3792">
      <w:pPr>
        <w:jc w:val="center"/>
        <w:rPr>
          <w:b/>
          <w:sz w:val="32"/>
        </w:rPr>
      </w:pPr>
      <w:r>
        <w:rPr>
          <w:b/>
          <w:sz w:val="32"/>
        </w:rPr>
        <w:t>Tracking Pathogens</w:t>
      </w:r>
      <w:r w:rsidR="00405641">
        <w:rPr>
          <w:b/>
          <w:sz w:val="32"/>
        </w:rPr>
        <w:t xml:space="preserve"> </w:t>
      </w:r>
      <w:r w:rsidR="00CE3792">
        <w:rPr>
          <w:b/>
          <w:sz w:val="32"/>
        </w:rPr>
        <w:t>Act</w:t>
      </w:r>
    </w:p>
    <w:p w14:paraId="1B4835D8" w14:textId="1EA83508" w:rsidR="00DE078E" w:rsidRPr="00DE078E" w:rsidRDefault="00B64799" w:rsidP="00CE3792">
      <w:pPr>
        <w:jc w:val="center"/>
        <w:rPr>
          <w:sz w:val="28"/>
        </w:rPr>
      </w:pPr>
      <w:r>
        <w:rPr>
          <w:sz w:val="28"/>
        </w:rPr>
        <w:t>Introduced by Senator</w:t>
      </w:r>
      <w:r w:rsidR="007E7E8E">
        <w:rPr>
          <w:sz w:val="28"/>
        </w:rPr>
        <w:t>s</w:t>
      </w:r>
      <w:r>
        <w:rPr>
          <w:sz w:val="28"/>
        </w:rPr>
        <w:t xml:space="preserve"> Tammy Baldwin</w:t>
      </w:r>
      <w:r w:rsidR="00334B4A">
        <w:rPr>
          <w:sz w:val="28"/>
        </w:rPr>
        <w:t xml:space="preserve"> (D-WI)</w:t>
      </w:r>
      <w:r w:rsidR="007E7E8E">
        <w:rPr>
          <w:sz w:val="28"/>
        </w:rPr>
        <w:t xml:space="preserve"> and Bill Cassidy, M.D.</w:t>
      </w:r>
      <w:r w:rsidR="00334B4A">
        <w:rPr>
          <w:sz w:val="28"/>
        </w:rPr>
        <w:t xml:space="preserve"> (R-LA)</w:t>
      </w:r>
    </w:p>
    <w:p w14:paraId="3C4666E0" w14:textId="77777777" w:rsidR="00CE3792" w:rsidRDefault="00CE3792" w:rsidP="00CE3792">
      <w:pPr>
        <w:jc w:val="center"/>
        <w:rPr>
          <w:b/>
          <w:sz w:val="32"/>
        </w:rPr>
      </w:pPr>
    </w:p>
    <w:p w14:paraId="73E57D2F" w14:textId="21F5E45B" w:rsidR="00CE3792" w:rsidRDefault="00CE3792" w:rsidP="00CE3792">
      <w:pPr>
        <w:jc w:val="center"/>
        <w:rPr>
          <w:i/>
        </w:rPr>
      </w:pPr>
      <w:r>
        <w:rPr>
          <w:i/>
        </w:rPr>
        <w:t xml:space="preserve">A </w:t>
      </w:r>
      <w:r w:rsidR="00334B4A">
        <w:rPr>
          <w:i/>
        </w:rPr>
        <w:t xml:space="preserve">bipartisan </w:t>
      </w:r>
      <w:r>
        <w:rPr>
          <w:i/>
        </w:rPr>
        <w:t xml:space="preserve">bill to </w:t>
      </w:r>
      <w:r w:rsidR="00B64799">
        <w:rPr>
          <w:i/>
        </w:rPr>
        <w:t>strengthen and expand genomic sequencing of pathogens to identify new threats and better prepare for the next pandemic</w:t>
      </w:r>
    </w:p>
    <w:p w14:paraId="46005DCC" w14:textId="77777777" w:rsidR="00CE3792" w:rsidRDefault="00CE3792" w:rsidP="00CE3792">
      <w:pPr>
        <w:jc w:val="center"/>
        <w:rPr>
          <w:i/>
        </w:rPr>
      </w:pPr>
    </w:p>
    <w:p w14:paraId="340D3F8A" w14:textId="3B043C1C" w:rsidR="003C75C3" w:rsidRPr="003C75C3" w:rsidRDefault="00CE3792" w:rsidP="003C75C3">
      <w:pPr>
        <w:spacing w:after="240"/>
        <w:contextualSpacing/>
      </w:pPr>
      <w:r w:rsidRPr="00CE3792">
        <w:rPr>
          <w:b/>
          <w:u w:val="single"/>
        </w:rPr>
        <w:t>Background:</w:t>
      </w:r>
      <w:r w:rsidRPr="00CE3792">
        <w:t xml:space="preserve"> </w:t>
      </w:r>
      <w:r w:rsidR="003C75C3">
        <w:t>The world has once again</w:t>
      </w:r>
      <w:r w:rsidR="003C75C3" w:rsidRPr="003C75C3">
        <w:t xml:space="preserve"> identified </w:t>
      </w:r>
      <w:r w:rsidR="003C75C3">
        <w:t>a new and</w:t>
      </w:r>
      <w:r w:rsidR="003C75C3" w:rsidRPr="003C75C3">
        <w:t xml:space="preserve"> highly co</w:t>
      </w:r>
      <w:r w:rsidR="003C75C3">
        <w:t>ntagious variant of SARS-CoV-2, Omicron</w:t>
      </w:r>
      <w:r w:rsidR="00A3611B">
        <w:t>, using genetic surveillance</w:t>
      </w:r>
      <w:r w:rsidR="003C75C3">
        <w:t>.</w:t>
      </w:r>
      <w:r w:rsidR="00A3611B">
        <w:t xml:space="preserve"> This process remains the</w:t>
      </w:r>
      <w:r w:rsidR="003C75C3" w:rsidRPr="003C75C3">
        <w:t xml:space="preserve"> best way to identify, survey, and understand emerging variants</w:t>
      </w:r>
      <w:r w:rsidR="003C75C3">
        <w:t xml:space="preserve"> of the novel coronavirus, as well as other pathogens</w:t>
      </w:r>
      <w:r w:rsidR="003C75C3" w:rsidRPr="003C75C3">
        <w:t>. National sequence-based surveillance, with systematic sampling of viruses from state and local public health laboratories</w:t>
      </w:r>
      <w:r w:rsidR="0066292F">
        <w:t xml:space="preserve"> and in partnership with hospital</w:t>
      </w:r>
      <w:r w:rsidR="00AA1FBF">
        <w:t xml:space="preserve">-based, academic and independent </w:t>
      </w:r>
      <w:r w:rsidR="0066292F">
        <w:t>laboratories</w:t>
      </w:r>
      <w:r w:rsidR="003C75C3" w:rsidRPr="003C75C3">
        <w:t xml:space="preserve">, provides </w:t>
      </w:r>
      <w:r w:rsidR="003C75C3">
        <w:t>a picture of circulating pathogens</w:t>
      </w:r>
      <w:r w:rsidR="003C75C3" w:rsidRPr="003C75C3">
        <w:t xml:space="preserve">, patterns in transmission and introduction, and context for investigations and mitigation efforts </w:t>
      </w:r>
      <w:r w:rsidR="003C75C3">
        <w:t>to better respond to and prepare for pandemics.</w:t>
      </w:r>
      <w:r w:rsidR="0066292F">
        <w:t xml:space="preserve"> This information will also provide data to assess vaccine effectiveness and, if necessary, inform new vaccine formulations.</w:t>
      </w:r>
    </w:p>
    <w:p w14:paraId="7B4B55EA" w14:textId="77777777" w:rsidR="003C75C3" w:rsidRPr="003C75C3" w:rsidRDefault="003C75C3" w:rsidP="003C75C3">
      <w:pPr>
        <w:spacing w:after="240"/>
        <w:contextualSpacing/>
      </w:pPr>
    </w:p>
    <w:p w14:paraId="080A080B" w14:textId="3122EC80" w:rsidR="003C75C3" w:rsidRDefault="003C75C3" w:rsidP="003C75C3">
      <w:pPr>
        <w:spacing w:after="240"/>
        <w:contextualSpacing/>
      </w:pPr>
      <w:r>
        <w:t>At the beginning of 2021, the U.S. was only conducting</w:t>
      </w:r>
      <w:r w:rsidRPr="003C75C3">
        <w:t xml:space="preserve"> sequence-based surveillance of approximately 0.3 percent of </w:t>
      </w:r>
      <w:r>
        <w:t xml:space="preserve">COVID-19 </w:t>
      </w:r>
      <w:r w:rsidRPr="003C75C3">
        <w:t>cases, lagging far behind other nations.</w:t>
      </w:r>
      <w:r w:rsidRPr="003C75C3">
        <w:rPr>
          <w:vertAlign w:val="superscript"/>
        </w:rPr>
        <w:footnoteReference w:id="1"/>
      </w:r>
      <w:r>
        <w:t xml:space="preserve"> Thankfully, we have made important progress</w:t>
      </w:r>
      <w:r w:rsidR="000F65CE">
        <w:t>, and the</w:t>
      </w:r>
      <w:r>
        <w:t xml:space="preserve"> CDC recently reported that </w:t>
      </w:r>
      <w:r w:rsidR="000F65CE">
        <w:t>it was sequencing one out of every seven PCR tests that were positive for COVID-19.</w:t>
      </w:r>
      <w:r w:rsidR="000F65CE">
        <w:rPr>
          <w:rStyle w:val="FootnoteReference"/>
        </w:rPr>
        <w:footnoteReference w:id="2"/>
      </w:r>
      <w:r w:rsidR="00A3611B">
        <w:t xml:space="preserve"> We must however, continue to do more and build out the infrastructure necessary for genetic surveillance of future pathogens with pandemic potential.  </w:t>
      </w:r>
    </w:p>
    <w:p w14:paraId="08ABBB2C" w14:textId="5063977B" w:rsidR="00182595" w:rsidRPr="00CE3792" w:rsidRDefault="00182595" w:rsidP="00182595">
      <w:pPr>
        <w:spacing w:after="240"/>
        <w:contextualSpacing/>
      </w:pPr>
    </w:p>
    <w:p w14:paraId="773B3B31" w14:textId="1144D953" w:rsidR="00405641" w:rsidRDefault="00182595" w:rsidP="00CD4D9D">
      <w:pPr>
        <w:spacing w:after="160"/>
        <w:contextualSpacing/>
      </w:pPr>
      <w:r>
        <w:rPr>
          <w:b/>
          <w:u w:val="single"/>
        </w:rPr>
        <w:t xml:space="preserve">The </w:t>
      </w:r>
      <w:r w:rsidR="00405641">
        <w:rPr>
          <w:b/>
          <w:u w:val="single"/>
        </w:rPr>
        <w:t>Tracking Pathogens</w:t>
      </w:r>
      <w:r>
        <w:rPr>
          <w:b/>
          <w:u w:val="single"/>
        </w:rPr>
        <w:t xml:space="preserve"> Act</w:t>
      </w:r>
      <w:r w:rsidR="00CE3792" w:rsidRPr="00CE3792">
        <w:t xml:space="preserve"> would </w:t>
      </w:r>
      <w:r w:rsidR="00146494">
        <w:t>enhance our ability to prepare for future pandemics and strengthen our nation’s ability to conduct genomic sequencing for pathogens by:</w:t>
      </w:r>
    </w:p>
    <w:p w14:paraId="23840F60" w14:textId="685C9AB6" w:rsidR="00146494" w:rsidRDefault="00CD4D9D" w:rsidP="00CD4D9D">
      <w:pPr>
        <w:pStyle w:val="ListParagraph"/>
        <w:numPr>
          <w:ilvl w:val="0"/>
          <w:numId w:val="1"/>
        </w:numPr>
        <w:spacing w:after="160"/>
      </w:pPr>
      <w:r>
        <w:rPr>
          <w:b/>
        </w:rPr>
        <w:t xml:space="preserve">Issuing Guidance: </w:t>
      </w:r>
      <w:r w:rsidR="00146494">
        <w:t xml:space="preserve">Issuing guidance to </w:t>
      </w:r>
      <w:r w:rsidR="00146494" w:rsidRPr="00146494">
        <w:t>support collaboration</w:t>
      </w:r>
      <w:r w:rsidR="00146494">
        <w:t>s</w:t>
      </w:r>
      <w:r w:rsidR="00146494" w:rsidRPr="00146494">
        <w:t xml:space="preserve"> </w:t>
      </w:r>
      <w:r w:rsidR="00146494">
        <w:t>for genomic sequencing,</w:t>
      </w:r>
      <w:r w:rsidR="00146494" w:rsidRPr="00146494">
        <w:t xml:space="preserve"> including the use of new and innovative approaches and technology for the detection, characterization, and sequencing of pathogens, to improve public health surveillance and prepa</w:t>
      </w:r>
      <w:r w:rsidR="00146494">
        <w:t>redness and response activities</w:t>
      </w:r>
    </w:p>
    <w:p w14:paraId="39DF4B88" w14:textId="1B8B1BFF" w:rsidR="00146494" w:rsidRDefault="00CD4D9D" w:rsidP="00CD4D9D">
      <w:pPr>
        <w:pStyle w:val="ListParagraph"/>
        <w:numPr>
          <w:ilvl w:val="0"/>
          <w:numId w:val="1"/>
        </w:numPr>
        <w:spacing w:after="160"/>
      </w:pPr>
      <w:r>
        <w:rPr>
          <w:b/>
        </w:rPr>
        <w:t xml:space="preserve">Supporting and Enhancing Sequencing Activities: </w:t>
      </w:r>
      <w:r w:rsidR="00146494">
        <w:t>Directing government health agencies, including the CDC and NIH, to expand and improve activities related to genomic sequencing by:</w:t>
      </w:r>
    </w:p>
    <w:p w14:paraId="0F5E2B04" w14:textId="1EED4B07" w:rsidR="00146494" w:rsidRDefault="00146494" w:rsidP="00CD4D9D">
      <w:pPr>
        <w:pStyle w:val="ListParagraph"/>
        <w:numPr>
          <w:ilvl w:val="1"/>
          <w:numId w:val="1"/>
        </w:numPr>
        <w:spacing w:after="160"/>
      </w:pPr>
      <w:r>
        <w:t>Continuing and expanding activities to identify and respond to emerging infectious disease threats</w:t>
      </w:r>
      <w:r w:rsidR="00CD4D9D">
        <w:t>, including by i</w:t>
      </w:r>
      <w:r>
        <w:t xml:space="preserve">dentifying the use of advanced technology to inform surveillance activities  </w:t>
      </w:r>
    </w:p>
    <w:p w14:paraId="10640012" w14:textId="1068173B" w:rsidR="00F54D62" w:rsidRDefault="00F54D62" w:rsidP="00CD4D9D">
      <w:pPr>
        <w:pStyle w:val="ListParagraph"/>
        <w:numPr>
          <w:ilvl w:val="1"/>
          <w:numId w:val="1"/>
        </w:numPr>
        <w:spacing w:after="160"/>
      </w:pPr>
      <w:r>
        <w:t>Seeking new partnerships between public health laboratories and the larger health infrastructure to expand the reach of sequencing programs</w:t>
      </w:r>
    </w:p>
    <w:p w14:paraId="3D6D4481" w14:textId="01CABF2A" w:rsidR="00CD4D9D" w:rsidRDefault="00CD4D9D" w:rsidP="00CD4D9D">
      <w:pPr>
        <w:pStyle w:val="ListParagraph"/>
        <w:numPr>
          <w:ilvl w:val="1"/>
          <w:numId w:val="1"/>
        </w:numPr>
        <w:spacing w:after="160"/>
      </w:pPr>
      <w:r>
        <w:t>Providing technical assistance and guidance to State, Tribal, local and territorial public health departments to increase capacity for sequencing</w:t>
      </w:r>
    </w:p>
    <w:p w14:paraId="5A145C90" w14:textId="30F37AFC" w:rsidR="00CD4D9D" w:rsidRDefault="00CD4D9D" w:rsidP="00CD4D9D">
      <w:pPr>
        <w:pStyle w:val="ListParagraph"/>
        <w:numPr>
          <w:ilvl w:val="1"/>
          <w:numId w:val="1"/>
        </w:numPr>
        <w:spacing w:after="160"/>
      </w:pPr>
      <w:r>
        <w:t xml:space="preserve">Enhancing the capabilities of the public health workforce focused on pathogen genomics, epidemiology, and bioinformatics </w:t>
      </w:r>
    </w:p>
    <w:p w14:paraId="3A051D8F" w14:textId="6DF0DECE" w:rsidR="00CD4D9D" w:rsidRDefault="00CD4D9D" w:rsidP="00CD4D9D">
      <w:pPr>
        <w:pStyle w:val="ListParagraph"/>
        <w:numPr>
          <w:ilvl w:val="0"/>
          <w:numId w:val="1"/>
        </w:numPr>
        <w:spacing w:after="160"/>
      </w:pPr>
      <w:r>
        <w:rPr>
          <w:b/>
        </w:rPr>
        <w:lastRenderedPageBreak/>
        <w:t xml:space="preserve">Establishing Centers of Excellence: </w:t>
      </w:r>
      <w:r>
        <w:t xml:space="preserve">Awarding grants to public health agencies and partnerships to establish </w:t>
      </w:r>
      <w:r w:rsidRPr="00CD4D9D">
        <w:t>centers of excellence to promote innovation in pathogen genomics and molecular epidemiology</w:t>
      </w:r>
      <w:r>
        <w:t xml:space="preserve">. Established Centers would: </w:t>
      </w:r>
    </w:p>
    <w:p w14:paraId="191454A8" w14:textId="50CA6AC2" w:rsidR="00CD4D9D" w:rsidRPr="00CD4D9D" w:rsidRDefault="00CD4D9D" w:rsidP="00CD4D9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Pr="00CD4D9D">
        <w:rPr>
          <w:rFonts w:cs="Times New Roman"/>
          <w:szCs w:val="24"/>
        </w:rPr>
        <w:t>dentify and evaluate technologies that may adv</w:t>
      </w:r>
      <w:r>
        <w:rPr>
          <w:rFonts w:cs="Times New Roman"/>
          <w:szCs w:val="24"/>
        </w:rPr>
        <w:t xml:space="preserve">ance public health preparedness, and </w:t>
      </w:r>
      <w:r w:rsidRPr="00CD4D9D">
        <w:rPr>
          <w:rFonts w:cs="Times New Roman"/>
          <w:szCs w:val="24"/>
        </w:rPr>
        <w:t>improve tools for integrating and analyzing genomic and epidemiologic data;</w:t>
      </w:r>
    </w:p>
    <w:p w14:paraId="3C005F6A" w14:textId="29E5A180" w:rsidR="00CD4D9D" w:rsidRPr="00CD4D9D" w:rsidRDefault="00CD4D9D" w:rsidP="00CD4D9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CD4D9D">
        <w:rPr>
          <w:rFonts w:cs="Times New Roman"/>
          <w:szCs w:val="24"/>
        </w:rPr>
        <w:t>ssist with genomic surveillance of, and response to, infectious diseases</w:t>
      </w:r>
      <w:r>
        <w:rPr>
          <w:rFonts w:cs="Times New Roman"/>
          <w:szCs w:val="24"/>
        </w:rPr>
        <w:t>;</w:t>
      </w:r>
    </w:p>
    <w:p w14:paraId="755929B1" w14:textId="6633D821" w:rsidR="00CD4D9D" w:rsidRPr="00CD4D9D" w:rsidRDefault="00CD4D9D" w:rsidP="00CD4D9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Pr="00CD4D9D">
        <w:rPr>
          <w:rFonts w:cs="Times New Roman"/>
          <w:szCs w:val="24"/>
        </w:rPr>
        <w:t xml:space="preserve">onduct applied research to improve public health surveillance </w:t>
      </w:r>
      <w:r>
        <w:rPr>
          <w:rFonts w:cs="Times New Roman"/>
          <w:szCs w:val="24"/>
        </w:rPr>
        <w:t xml:space="preserve">and response to </w:t>
      </w:r>
      <w:r w:rsidRPr="00CD4D9D">
        <w:rPr>
          <w:rFonts w:cs="Times New Roman"/>
          <w:szCs w:val="24"/>
        </w:rPr>
        <w:t>infectious diseases</w:t>
      </w:r>
      <w:r>
        <w:rPr>
          <w:rFonts w:cs="Times New Roman"/>
          <w:szCs w:val="24"/>
        </w:rPr>
        <w:t>;</w:t>
      </w:r>
    </w:p>
    <w:p w14:paraId="78A15060" w14:textId="46363C8B" w:rsidR="00CD4D9D" w:rsidRPr="00CD4D9D" w:rsidRDefault="00CD4D9D" w:rsidP="00CD4D9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CD4D9D">
        <w:rPr>
          <w:rFonts w:cs="Times New Roman"/>
          <w:szCs w:val="24"/>
        </w:rPr>
        <w:t>evelop and provide training materials for experts in the fields of genomics, microbiology, bioinformatics, epidemiology, and other fields</w:t>
      </w:r>
      <w:r>
        <w:rPr>
          <w:rFonts w:cs="Times New Roman"/>
          <w:szCs w:val="24"/>
        </w:rPr>
        <w:t>;</w:t>
      </w:r>
    </w:p>
    <w:p w14:paraId="695027BF" w14:textId="55A6DB07" w:rsidR="00CE3792" w:rsidRDefault="00CD4D9D" w:rsidP="00CD4D9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60"/>
        <w:rPr>
          <w:rFonts w:cs="Times New Roman"/>
          <w:szCs w:val="24"/>
        </w:rPr>
      </w:pPr>
      <w:r w:rsidRPr="00CD4D9D">
        <w:rPr>
          <w:rFonts w:cs="Times New Roman"/>
          <w:szCs w:val="24"/>
        </w:rPr>
        <w:t>Conduct workforce development through advanced tra</w:t>
      </w:r>
      <w:r>
        <w:rPr>
          <w:rFonts w:cs="Times New Roman"/>
          <w:szCs w:val="24"/>
        </w:rPr>
        <w:t>ining in academic labs</w:t>
      </w:r>
    </w:p>
    <w:p w14:paraId="7D2D772D" w14:textId="4F561345" w:rsidR="00A3611B" w:rsidRPr="00A3611B" w:rsidRDefault="00A3611B" w:rsidP="00A36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60"/>
        <w:rPr>
          <w:rFonts w:cs="Times New Roman"/>
          <w:szCs w:val="24"/>
        </w:rPr>
      </w:pPr>
      <w:r w:rsidRPr="00A3611B">
        <w:rPr>
          <w:rFonts w:cs="Times New Roman"/>
          <w:b/>
          <w:szCs w:val="24"/>
        </w:rPr>
        <w:t xml:space="preserve">Authorize </w:t>
      </w:r>
      <w:r w:rsidR="005C0704">
        <w:rPr>
          <w:rFonts w:cs="Times New Roman"/>
          <w:b/>
          <w:szCs w:val="24"/>
        </w:rPr>
        <w:t xml:space="preserve">sustained funding </w:t>
      </w:r>
      <w:r w:rsidR="007E7E8E">
        <w:rPr>
          <w:rFonts w:cs="Times New Roman"/>
          <w:b/>
          <w:szCs w:val="24"/>
        </w:rPr>
        <w:t xml:space="preserve">of $175 million </w:t>
      </w:r>
      <w:r w:rsidR="007C19EF">
        <w:rPr>
          <w:rFonts w:cs="Times New Roman"/>
          <w:b/>
          <w:szCs w:val="24"/>
        </w:rPr>
        <w:t xml:space="preserve">per year </w:t>
      </w:r>
      <w:bookmarkStart w:id="0" w:name="_GoBack"/>
      <w:bookmarkEnd w:id="0"/>
      <w:r w:rsidR="007E7E8E">
        <w:rPr>
          <w:rFonts w:cs="Times New Roman"/>
          <w:b/>
          <w:szCs w:val="24"/>
        </w:rPr>
        <w:t xml:space="preserve">for FY23-27 </w:t>
      </w:r>
      <w:r>
        <w:rPr>
          <w:rFonts w:cs="Times New Roman"/>
          <w:szCs w:val="24"/>
        </w:rPr>
        <w:t xml:space="preserve">for genetic surveillance and genomic sequencing </w:t>
      </w:r>
    </w:p>
    <w:p w14:paraId="37778A85" w14:textId="77777777" w:rsidR="00DE078E" w:rsidRPr="00CE3792" w:rsidRDefault="00DE078E" w:rsidP="00CD4D9D">
      <w:pPr>
        <w:contextualSpacing/>
      </w:pPr>
      <w:r>
        <w:t xml:space="preserve"> </w:t>
      </w:r>
    </w:p>
    <w:sectPr w:rsidR="00DE078E" w:rsidRPr="00CE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E8BD" w14:textId="77777777" w:rsidR="003C75C3" w:rsidRDefault="003C75C3" w:rsidP="003C75C3">
      <w:r>
        <w:separator/>
      </w:r>
    </w:p>
  </w:endnote>
  <w:endnote w:type="continuationSeparator" w:id="0">
    <w:p w14:paraId="1051FAC0" w14:textId="77777777" w:rsidR="003C75C3" w:rsidRDefault="003C75C3" w:rsidP="003C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D927" w14:textId="77777777" w:rsidR="003C75C3" w:rsidRDefault="003C75C3" w:rsidP="003C75C3">
      <w:r>
        <w:separator/>
      </w:r>
    </w:p>
  </w:footnote>
  <w:footnote w:type="continuationSeparator" w:id="0">
    <w:p w14:paraId="35DAD231" w14:textId="77777777" w:rsidR="003C75C3" w:rsidRDefault="003C75C3" w:rsidP="003C75C3">
      <w:r>
        <w:continuationSeparator/>
      </w:r>
    </w:p>
  </w:footnote>
  <w:footnote w:id="1">
    <w:p w14:paraId="5E07B904" w14:textId="77777777" w:rsidR="003C75C3" w:rsidRDefault="003C75C3" w:rsidP="003C75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15E2">
        <w:t>https://www.nbcnews.com/health/health-news/u-k-variant-spreads-u-s-scientists-warn-country-isn-n1253467</w:t>
      </w:r>
    </w:p>
  </w:footnote>
  <w:footnote w:id="2">
    <w:p w14:paraId="1C115CAB" w14:textId="2E24FFF8" w:rsidR="000F65CE" w:rsidRDefault="000F65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65CE">
        <w:t>https://www.nbcnews.com/health/health-news/cdc-hunting-omicron-variant-us-cases-spread-globally-rcna7097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0CB5"/>
    <w:multiLevelType w:val="hybridMultilevel"/>
    <w:tmpl w:val="6A64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92"/>
    <w:rsid w:val="000108ED"/>
    <w:rsid w:val="000F65CE"/>
    <w:rsid w:val="00146494"/>
    <w:rsid w:val="00171F01"/>
    <w:rsid w:val="00182595"/>
    <w:rsid w:val="00213E75"/>
    <w:rsid w:val="00334B4A"/>
    <w:rsid w:val="003C75C3"/>
    <w:rsid w:val="00405641"/>
    <w:rsid w:val="005258BF"/>
    <w:rsid w:val="005C0704"/>
    <w:rsid w:val="005D6734"/>
    <w:rsid w:val="00614D54"/>
    <w:rsid w:val="0066292F"/>
    <w:rsid w:val="007C19EF"/>
    <w:rsid w:val="007C4399"/>
    <w:rsid w:val="007E7E8E"/>
    <w:rsid w:val="00844A9C"/>
    <w:rsid w:val="00847B93"/>
    <w:rsid w:val="00A3611B"/>
    <w:rsid w:val="00AA1FBF"/>
    <w:rsid w:val="00B64799"/>
    <w:rsid w:val="00CD4D9D"/>
    <w:rsid w:val="00CE3792"/>
    <w:rsid w:val="00DE078E"/>
    <w:rsid w:val="00F54D62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38471"/>
  <w15:chartTrackingRefBased/>
  <w15:docId w15:val="{6CF3C7F2-8379-4B73-938C-918EFF3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4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D9D"/>
    <w:pPr>
      <w:spacing w:after="160"/>
    </w:pPr>
    <w:rPr>
      <w:rFonts w:asciiTheme="minorHAnsi" w:eastAsiaTheme="minorEastAsia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D9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9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5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5C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5C3"/>
    <w:rPr>
      <w:vertAlign w:val="superscript"/>
    </w:rPr>
  </w:style>
  <w:style w:type="paragraph" w:styleId="Revision">
    <w:name w:val="Revision"/>
    <w:hidden/>
    <w:uiPriority w:val="99"/>
    <w:semiHidden/>
    <w:rsid w:val="0066292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F880-D829-478D-83D9-EDFCDC87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Dugan, Erin (Baldwin)</dc:creator>
  <cp:keywords/>
  <dc:description/>
  <cp:lastModifiedBy>Dugan, Erin (Baldwin)</cp:lastModifiedBy>
  <cp:revision>4</cp:revision>
  <dcterms:created xsi:type="dcterms:W3CDTF">2022-01-24T21:25:00Z</dcterms:created>
  <dcterms:modified xsi:type="dcterms:W3CDTF">2022-01-24T22:07:00Z</dcterms:modified>
</cp:coreProperties>
</file>